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657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5709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480"/>
          </w:cols>
          <w:pgMar w:left="460" w:top="217" w:right="37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Rasheed Shaka</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DigitalBridge Group,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DBRG</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40" w:type="dxa"/>
            <w:vAlign w:val="bottom"/>
            <w:tcBorders>
              <w:bottom w:val="single" w:sz="8" w:color="0000EE"/>
            </w:tcBorders>
          </w:tcPr>
          <w:p>
            <w:pPr>
              <w:spacing w:after="0"/>
              <w:rPr>
                <w:sz w:val="6"/>
                <w:szCs w:val="6"/>
                <w:color w:val="auto"/>
              </w:rPr>
            </w:pPr>
          </w:p>
        </w:tc>
        <w:tc>
          <w:tcPr>
            <w:tcW w:w="16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11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2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06/01/2026</w:t>
            </w:r>
          </w:p>
        </w:tc>
        <w:tc>
          <w:tcPr>
            <w:tcW w:w="16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DIGITALBRIDGE GROUP, INC.</w:t>
            </w:r>
          </w:p>
        </w:tc>
        <w:tc>
          <w:tcPr>
            <w:tcW w:w="2300" w:type="dxa"/>
            <w:vAlign w:val="bottom"/>
            <w:gridSpan w:val="3"/>
            <w:vMerge w:val="continue"/>
          </w:tcPr>
          <w:p>
            <w:pPr>
              <w:spacing w:after="0"/>
              <w:rPr>
                <w:sz w:val="10"/>
                <w:szCs w:val="10"/>
                <w:color w:val="auto"/>
              </w:rPr>
            </w:pPr>
          </w:p>
        </w:tc>
        <w:tc>
          <w:tcPr>
            <w:tcW w:w="16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750 PARK OF COMMERCE DRIVE, SUITE 210</w:t>
            </w: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60"/>
          </w:cols>
          <w:pgMar w:left="460" w:top="217" w:right="37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BOCA RATON</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33487</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00"/>
          </w:cols>
          <w:pgMar w:left="460" w:top="217" w:right="379" w:bottom="1440" w:gutter="0" w:footer="0" w:header="0"/>
          <w:type w:val="continuous"/>
        </w:sectPr>
      </w:pPr>
    </w:p>
    <w:p>
      <w:pPr>
        <w:jc w:val="center"/>
        <w:ind w:righ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35"/>
        </w:trPr>
        <w:tc>
          <w:tcPr>
            <w:tcW w:w="6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94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r>
    </w:tbl>
    <w:p>
      <w:pPr>
        <w:spacing w:after="0" w:line="31"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7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Deferred</w:t>
            </w:r>
          </w:p>
        </w:tc>
        <w:tc>
          <w:tcPr>
            <w:tcW w:w="6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tcPr>
          <w:p>
            <w:pPr>
              <w:jc w:val="center"/>
              <w:ind w:right="535"/>
              <w:spacing w:after="0"/>
              <w:rPr>
                <w:sz w:val="20"/>
                <w:szCs w:val="20"/>
                <w:color w:val="auto"/>
              </w:rPr>
            </w:pPr>
            <w:r>
              <w:rPr>
                <w:rFonts w:ascii="Times New Roman" w:cs="Times New Roman" w:eastAsia="Times New Roman" w:hAnsi="Times New Roman"/>
                <w:sz w:val="13"/>
                <w:szCs w:val="13"/>
                <w:color w:val="0000FF"/>
                <w:w w:val="97"/>
              </w:rPr>
              <w:t>Class A</w:t>
            </w: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700" w:type="dxa"/>
            <w:vAlign w:val="bottom"/>
            <w:vMerge w:val="continue"/>
          </w:tcPr>
          <w:p>
            <w:pPr>
              <w:spacing w:after="0"/>
              <w:rPr>
                <w:sz w:val="5"/>
                <w:szCs w:val="5"/>
                <w:color w:val="auto"/>
              </w:rPr>
            </w:pPr>
          </w:p>
        </w:tc>
        <w:tc>
          <w:tcPr>
            <w:tcW w:w="66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(2)</w:t>
            </w:r>
          </w:p>
        </w:tc>
        <w:tc>
          <w:tcPr>
            <w:tcW w:w="1640" w:type="dxa"/>
            <w:vAlign w:val="bottom"/>
            <w:vMerge w:val="restart"/>
          </w:tcPr>
          <w:p>
            <w:pPr>
              <w:jc w:val="right"/>
              <w:ind w:right="695"/>
              <w:spacing w:after="0"/>
              <w:rPr>
                <w:sz w:val="20"/>
                <w:szCs w:val="20"/>
                <w:color w:val="auto"/>
              </w:rPr>
            </w:pPr>
            <w:r>
              <w:rPr>
                <w:rFonts w:ascii="Times New Roman" w:cs="Times New Roman" w:eastAsia="Times New Roman" w:hAnsi="Times New Roman"/>
                <w:sz w:val="13"/>
                <w:szCs w:val="13"/>
                <w:color w:val="0000FF"/>
              </w:rPr>
              <w:t>06/01/2026</w:t>
            </w:r>
          </w:p>
        </w:tc>
        <w:tc>
          <w:tcPr>
            <w:tcW w:w="1140" w:type="dxa"/>
            <w:vAlign w:val="bottom"/>
            <w:vMerge w:val="restart"/>
          </w:tcPr>
          <w:p>
            <w:pPr>
              <w:ind w:left="740"/>
              <w:spacing w:after="0"/>
              <w:rPr>
                <w:sz w:val="20"/>
                <w:szCs w:val="20"/>
                <w:color w:val="auto"/>
              </w:rPr>
            </w:pPr>
            <w:r>
              <w:rPr>
                <w:rFonts w:ascii="Times New Roman" w:cs="Times New Roman" w:eastAsia="Times New Roman" w:hAnsi="Times New Roman"/>
                <w:sz w:val="13"/>
                <w:szCs w:val="13"/>
                <w:color w:val="0000FF"/>
              </w:rPr>
              <w:t>A</w:t>
            </w:r>
          </w:p>
        </w:tc>
        <w:tc>
          <w:tcPr>
            <w:tcW w:w="1020" w:type="dxa"/>
            <w:vAlign w:val="bottom"/>
            <w:vMerge w:val="restart"/>
          </w:tcPr>
          <w:p>
            <w:pPr>
              <w:jc w:val="right"/>
              <w:ind w:right="275"/>
              <w:spacing w:after="0"/>
              <w:rPr>
                <w:sz w:val="20"/>
                <w:szCs w:val="20"/>
                <w:color w:val="auto"/>
              </w:rPr>
            </w:pPr>
            <w:r>
              <w:rPr>
                <w:rFonts w:ascii="Times New Roman" w:cs="Times New Roman" w:eastAsia="Times New Roman" w:hAnsi="Times New Roman"/>
                <w:sz w:val="13"/>
                <w:szCs w:val="13"/>
                <w:color w:val="0000FF"/>
              </w:rPr>
              <w:t>11,190</w:t>
            </w:r>
          </w:p>
        </w:tc>
        <w:tc>
          <w:tcPr>
            <w:tcW w:w="78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008000"/>
              </w:rPr>
              <w:t>(2)</w:t>
            </w:r>
          </w:p>
        </w:tc>
        <w:tc>
          <w:tcPr>
            <w:tcW w:w="1440" w:type="dxa"/>
            <w:vAlign w:val="bottom"/>
            <w:vMerge w:val="restart"/>
          </w:tcPr>
          <w:p>
            <w:pPr>
              <w:ind w:left="180"/>
              <w:spacing w:after="0" w:line="169" w:lineRule="exact"/>
              <w:rPr>
                <w:sz w:val="20"/>
                <w:szCs w:val="20"/>
                <w:color w:val="auto"/>
              </w:rPr>
            </w:pPr>
            <w:r>
              <w:rPr>
                <w:rFonts w:ascii="Times New Roman" w:cs="Times New Roman" w:eastAsia="Times New Roman" w:hAnsi="Times New Roman"/>
                <w:sz w:val="13"/>
                <w:szCs w:val="13"/>
                <w:color w:val="0000FF"/>
              </w:rPr>
              <w:t xml:space="preserve">Common  </w:t>
            </w:r>
            <w:r>
              <w:rPr>
                <w:rFonts w:ascii="Times New Roman" w:cs="Times New Roman" w:eastAsia="Times New Roman" w:hAnsi="Times New Roman"/>
                <w:sz w:val="16"/>
                <w:szCs w:val="16"/>
                <w:color w:val="0000FF"/>
              </w:rPr>
              <w:t>11,190</w:t>
            </w:r>
          </w:p>
        </w:tc>
        <w:tc>
          <w:tcPr>
            <w:tcW w:w="58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(2)</w:t>
            </w:r>
          </w:p>
        </w:tc>
        <w:tc>
          <w:tcPr>
            <w:tcW w:w="960" w:type="dxa"/>
            <w:vAlign w:val="bottom"/>
            <w:vMerge w:val="restart"/>
          </w:tcPr>
          <w:p>
            <w:pPr>
              <w:jc w:val="right"/>
              <w:ind w:right="255"/>
              <w:spacing w:after="0"/>
              <w:rPr>
                <w:sz w:val="20"/>
                <w:szCs w:val="20"/>
                <w:color w:val="auto"/>
              </w:rPr>
            </w:pPr>
            <w:r>
              <w:rPr>
                <w:rFonts w:ascii="Times New Roman" w:cs="Times New Roman" w:eastAsia="Times New Roman" w:hAnsi="Times New Roman"/>
                <w:sz w:val="13"/>
                <w:szCs w:val="13"/>
                <w:color w:val="0000FF"/>
              </w:rPr>
              <w:t>66,179</w:t>
            </w:r>
          </w:p>
        </w:tc>
        <w:tc>
          <w:tcPr>
            <w:tcW w:w="40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w w:val="84"/>
              </w:rPr>
              <w:t>D</w:t>
            </w:r>
          </w:p>
        </w:tc>
        <w:tc>
          <w:tcPr>
            <w:tcW w:w="0" w:type="dxa"/>
            <w:vAlign w:val="bottom"/>
          </w:tcPr>
          <w:p>
            <w:pPr>
              <w:spacing w:after="0"/>
              <w:rPr>
                <w:sz w:val="1"/>
                <w:szCs w:val="1"/>
                <w:color w:val="auto"/>
              </w:rPr>
            </w:pPr>
          </w:p>
        </w:tc>
      </w:tr>
      <w:tr>
        <w:trPr>
          <w:trHeight w:val="88"/>
        </w:trPr>
        <w:tc>
          <w:tcPr>
            <w:tcW w:w="700" w:type="dxa"/>
            <w:vAlign w:val="bottom"/>
            <w:vMerge w:val="restart"/>
          </w:tcPr>
          <w:p>
            <w:pPr>
              <w:spacing w:after="0" w:line="109" w:lineRule="exact"/>
              <w:rPr>
                <w:sz w:val="20"/>
                <w:szCs w:val="20"/>
                <w:color w:val="auto"/>
              </w:rPr>
            </w:pPr>
            <w:r>
              <w:rPr>
                <w:rFonts w:ascii="Times New Roman" w:cs="Times New Roman" w:eastAsia="Times New Roman" w:hAnsi="Times New Roman"/>
                <w:sz w:val="8"/>
                <w:szCs w:val="8"/>
                <w:color w:val="0000FF"/>
              </w:rPr>
              <w:t>Stock</w:t>
            </w:r>
            <w:r>
              <w:rPr>
                <w:rFonts w:ascii="Times New Roman" w:cs="Times New Roman" w:eastAsia="Times New Roman" w:hAnsi="Times New Roman"/>
                <w:sz w:val="12"/>
                <w:szCs w:val="12"/>
                <w:color w:val="008000"/>
                <w:vertAlign w:val="superscript"/>
              </w:rPr>
              <w:t>(1)</w:t>
            </w:r>
          </w:p>
        </w:tc>
        <w:tc>
          <w:tcPr>
            <w:tcW w:w="66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70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4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tcPr>
          <w:p>
            <w:pPr>
              <w:jc w:val="center"/>
              <w:ind w:right="515"/>
              <w:spacing w:after="0"/>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4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receipt of deferred stock units ("Deferred Stock") granted by the Issuer in respect of the reporting person's election to defer equity compensation payable in accordance with the Issuer's non-executive director compensation policy in connection with the reporting person's recent election to the Issuer's board of directors.</w:t>
      </w:r>
    </w:p>
    <w:p>
      <w:pPr>
        <w:spacing w:after="0" w:line="16" w:lineRule="exact"/>
        <w:rPr>
          <w:rFonts w:ascii="Times New Roman" w:cs="Times New Roman" w:eastAsia="Times New Roman" w:hAnsi="Times New Roman"/>
          <w:sz w:val="13"/>
          <w:szCs w:val="13"/>
          <w:color w:val="008000"/>
        </w:rPr>
      </w:pPr>
    </w:p>
    <w:p>
      <w:pPr>
        <w:ind w:left="40" w:right="26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Deferred Stock has no expiration date and is payable in the Issuer's Class A Common Stock, on a one-for-one basis, after the reporting person's separation from service with the Issuer. The Deferred Stock is scheduled to vest on June 1, 2027. The amount of Deferred Stock was determined by dividing the fixed grant value of $175,000 by the closing price of the Issuer's common stock on the New York Stock Exchange on the business day prior to the grant date.</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Blake Clardy, as Attorney-</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06/03/2026</w:t>
            </w:r>
          </w:p>
        </w:tc>
        <w:tc>
          <w:tcPr>
            <w:tcW w:w="0" w:type="dxa"/>
            <w:vAlign w:val="bottom"/>
          </w:tcPr>
          <w:p>
            <w:pPr>
              <w:spacing w:after="0"/>
              <w:rPr>
                <w:sz w:val="1"/>
                <w:szCs w:val="1"/>
                <w:color w:val="auto"/>
              </w:rPr>
            </w:pPr>
          </w:p>
        </w:tc>
      </w:tr>
      <w:tr>
        <w:trPr>
          <w:trHeight w:val="88"/>
        </w:trPr>
        <w:tc>
          <w:tcPr>
            <w:tcW w:w="44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4"/>
              </w:rPr>
              <w:t>in-fact</w:t>
            </w:r>
          </w:p>
        </w:tc>
        <w:tc>
          <w:tcPr>
            <w:tcW w:w="17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40" w:type="dxa"/>
            <w:vAlign w:val="bottom"/>
            <w:tcBorders>
              <w:bottom w:val="single" w:sz="8" w:color="auto"/>
            </w:tcBorders>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6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60"/>
      </w:cols>
      <w:pgMar w:left="460" w:top="217"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61225" TargetMode="External"/><Relationship Id="rId14" Type="http://schemas.openxmlformats.org/officeDocument/2006/relationships/hyperlink" Target="http://www.sec.gov/cgi-bin/browse-edgar?action=getcompany&amp;CIK=00016796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2026-06-03T16:32:54Z</dcterms:created>
  <dcterms:modified xsi:type="dcterms:W3CDTF">2026-06-03T16:32:54Z</dcterms:modified>
</cp:coreProperties>
</file>