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27488d1_1512g.htm"/>
      <w:bookmarkStart w:id="1" w:name="kstm2627488d1_1512g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  <w:br/>
        <w:t>SECURITIES AND EXCHANGE COMMISSION</w:t>
        <w:br/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15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CERTIFICATION AND NOTICE OF TERMINATION OF REGISTRATION UNDER SECTION 12(g)</w:t>
        <w:br/>
        <w:t>OF THE SECURITIES EXCHANGE ACT OF 1934 OR SUSPENSION OF DUTY TO FILE</w:t>
        <w:br/>
        <w:t>REPORTS UNDER SECTIONS 13 AND 15(d) OF THE SECURITIES EXCHANGE ACT OF 1934.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5040" w:right="1440" w:hanging="0"/>
        <w:jc w:val="righ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Commission File Number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001-37980</w:t>
      </w:r>
    </w:p>
    <w:p>
      <w:pPr>
        <w:pStyle w:val="TextBody"/>
        <w:bidi w:val="0"/>
        <w:spacing w:before="0" w:after="0"/>
        <w:ind w:left="504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bottom w:val="single" w:sz="8" w:space="1" w:color="000000"/>
        </w:pBdr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DIGITALBRIDGE GROUP, INC.*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bottom w:val="single" w:sz="8" w:space="1" w:color="000000"/>
        </w:pBdr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750 Park of Commerce Drive, Suite 210</w:t>
        <w:br/>
        <w:t>Boca Raton, Florida 33487</w:t>
        <w:br/>
        <w:t>(561) 570-4644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(Address, including zip code, and telephone number, including area code, of registrant’s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bottom w:val="single" w:sz="8" w:space="1" w:color="000000"/>
        </w:pBdr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Class A Common Stock, par value $0.01 per share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(Title of each class of securities covered by this Form)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7.125% Series H Cumulative Redeemable Perpetual Preferred Stock, par value $0.01 per share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7.15% Series I Cumulative Redeemable Perpetual Preferred Stock, par value $0.01 per share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7.125% Series J Cumulative Redeemable Perpetual Preferred Stock, par value $0.01 per share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bottom w:val="single" w:sz="8" w:space="1" w:color="000000"/>
        </w:pBdr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(Titles of all other classes of securities for which a duty to file reports under section 13(a) or 15(d) remains)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88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0"/>
        <w:gridCol w:w="245"/>
      </w:tblGrid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12g-4(a)(1)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12g-4(a)(2)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12h-3(b)(1)(i)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12h-3(b)(1)(ii)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15d-6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Rule 15d-22(b)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</w:tr>
    </w:tbl>
    <w:p>
      <w:pPr>
        <w:pStyle w:val="TextBody"/>
        <w:bidi w:val="0"/>
        <w:spacing w:before="0" w:after="0"/>
        <w:ind w:left="360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Approximate number of holders of record as of the certification or notice date: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44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Class A Common Stock, $0.01 par value: One (1) holder</w:t>
      </w:r>
    </w:p>
    <w:p>
      <w:pPr>
        <w:pStyle w:val="TextBody"/>
        <w:bidi w:val="0"/>
        <w:spacing w:before="0" w:after="0"/>
        <w:ind w:left="144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DigitalBridge Group, Inc. 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ind w:left="72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814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70"/>
        <w:gridCol w:w="869"/>
        <w:gridCol w:w="2975"/>
      </w:tblGrid>
      <w:tr>
        <w:trPr/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Date:  October 13, 2026</w:t>
            </w:r>
          </w:p>
        </w:tc>
        <w:tc>
          <w:tcPr>
            <w:tcW w:w="384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DIGITALBRIDGE GROUP, INC.</w:t>
            </w:r>
            <w:r>
              <w:rPr/>
              <w:t xml:space="preserve">    </w:t>
            </w:r>
          </w:p>
        </w:tc>
      </w:tr>
      <w:tr>
        <w:trPr/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4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297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Thomas Mayrhofer</w:t>
            </w:r>
          </w:p>
        </w:tc>
      </w:tr>
      <w:tr>
        <w:trPr/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Thomas Mayrhofer</w:t>
            </w:r>
          </w:p>
        </w:tc>
      </w:tr>
      <w:tr>
        <w:trPr/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* On December 29, 2025, DigitalBridge Group, Inc., a Maryland corporation (“DigitalBridge”), entered into an Agreement and Plan of Merger (the “Merger Agreement”), with Duncan Holdco LLC, a Delaware limited liability company (“Parent”), an indirect subsidiary of SoftBank Group Corp., a Japanese kabushiki kaisha, Duncan Sub I Inc., a Maryland corporation and wholly owned subsidiary of Parent (“Merger Sub I”), Duncan Sub II LLC, a Delaware limited liability company and wholly owned subsidiary of Merger Sub I, and DigitalBridge Operating Company, LLC, a Delaware limited liability company. On September 30, 2026, pursuant to the terms and conditions of the Merger Agreement, Merger Sub I merged with and into DigitalBridge (the “Company Merger”), with DigitalBridge surviving the Company Merger as an indirect subsidiary of Parent.</w:t>
      </w:r>
    </w:p>
    <w:p>
      <w:pPr>
        <w:pStyle w:val="TextBody"/>
        <w:bidi w:val="0"/>
        <w:spacing w:before="0" w:after="0"/>
        <w:ind w:left="144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Board of Governors of the Federal Reserve System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OMB Number: 3235-0167 Approval expires: August 31, 2027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"/>
        <w:gridCol w:w="9138"/>
      </w:tblGrid>
      <w:tr>
        <w:trPr/>
        <w:tc>
          <w:tcPr>
            <w:tcW w:w="10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SEC 2069 (08-11)</w:t>
            </w:r>
          </w:p>
        </w:tc>
        <w:tc>
          <w:tcPr>
            <w:tcW w:w="91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Potential persons who are to respond to the collection of information contained in this Form are not required to respond unless the Form displays a currently valid OMB control number.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455</Words>
  <Characters>2509</Characters>
  <CharactersWithSpaces>2960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