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60.xml.htm"/>
      <w:bookmarkStart w:id="1" w:name="kswkform4_17909784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Mayrhofer Thomas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283,532</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("Merger Sub II") and DigitalBridge Operating Company, LLC (the "OP"), among other things, (i) Merger Sub I merged with and into the Issuer (the "Company Merger") with the Issuer surviving the Company Merger and (ii) Merger Sub II merged with and into the OP (the "OP Merger") with the OP surviving the OP Merger. At the effective time of the Company Merger (the "Company Merger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226,367 shares of restricted Class A Common Stock. As of immediately prior to the Company Merger Effective Time, each outstanding share of restricted Class A Common Stock granted to the reporting person by the Issuer became fully vested, and as of the Company Merger Effective Time, automatically converted into the right to receive the Per Share Merger Consideration plus a cash payment equal to the accumulated dividend equivalents as of immediately prior to the Company Merger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6992"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824</Words>
  <Characters>4412</Characters>
  <CharactersWithSpaces>5166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