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91927251.xml.htm"/>
      <w:bookmarkStart w:id="1" w:name="kswkform3_179192725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Parekh Vikas Jayendra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DIGITALBRIDGE GROUP,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 PARK OF COMMERCE DR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BOCA RATON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09/30/2026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DigitalBridge Group, Inc.</w:t>
              </w:r>
            </w:hyperlink>
            <w:r>
              <w:rPr/>
              <w:t xml:space="preserve"> [ </w:t>
            </w:r>
            <w:r>
              <w:rPr>
                <w:rFonts w:ascii="Times;serif" w:hAnsi="Times;serif"/>
                <w:color w:val="0000FF"/>
                <w:sz w:val="24"/>
                <w:shd w:fill="FFFFFF" w:val="clear"/>
              </w:rPr>
              <w:t>DBRG</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Lists: 24.1-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Geoffrey Goldschein,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a241-powerofattorneyvika.htm"/>
      <w:bookmarkStart w:id="3" w:name="ksa241powerofattorneyvika"/>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hereby makes, constitutes and appoints Geoffrey Goldschein and Thomas Mayrhofer, who may each sign independent of the other, the undersigned’s true and lawful attorney-in-fact to: (1) execute for and on behalf of the undersigned, in the undersigned’s capacity as a director of DigitalBridge Group, Inc. (“DigitalBridge”), Forms 3, 4 and 5 (including amendments thereto), or any similar or successor form, in accordance with Section 16(a) of the Securities Exchange Act of 1934, as amended (the “Exchange Act”) and the rules and regulations thereunder, and any other forms or reports the undersigned may be required to file in connection with the undersigned’s ownership, acquisition, or disposition of securities of DigitalBridge; (2) do and perform any and all acts for and on behalf of the undersigned which may be necessary or desirable to complete and execute any such Forms 3, 4, 5 or any similar or successor form, or other form or report, complete and execute any amendment or amendments thereto, and timely file such form or report with the United States Securities and Exchange Commission (the “SEC”) and any stock exchange or similar authority; and (3) take any other action of any type whatsoever in connection with the foregoing which, in the opinion of such attorney-in-fact, may be of benefit to, in the best interest of or legally required by the undersigned, including communications to the SEC and any stock exchange or similar authority,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DigitalBridge assuming, any of the undersigned’s responsibilities to comply with Section 16 of the Exchange Act. This Power of Attorney shall remain in full force and effect until the undersigned is no longer required to file Forms 3, 4 and 5 with respect to the undersigned’s holdings of and transactions in securities issued by DigitalBridge, unless earlier revoked by the undersigned in a signed writing delivered to the foregoing attorneys-in-fact. IN WITNESS WHEREOF, the undersigned has caused this Power of Attorney to be executed as of this 9th day of October, 2026. Name: Vikas Parekh Title: Individual /s/ Vikas Parekh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32976" TargetMode="External"/><Relationship Id="rId3" Type="http://schemas.openxmlformats.org/officeDocument/2006/relationships/hyperlink" Target="http://www.sec.gov/cgi-bin/browse-edgar?action=getcompany&amp;CIK=000167968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911</Words>
  <Characters>4937</Characters>
  <CharactersWithSpaces>5804</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a241-powerofattorneyvika</dc:title>
</cp:coreProperties>
</file>