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8468.xml.htm"/>
      <w:bookmarkStart w:id="1" w:name="kswkform4_179097846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WINTROB JAY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DIGITALBRIDGE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 PARK OF COMMERCE DR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DigitalBridge Group, Inc.</w:t>
              </w:r>
            </w:hyperlink>
            <w:r>
              <w:rPr/>
              <w:t xml:space="preserve"> [ </w:t>
            </w:r>
            <w:r>
              <w:rPr>
                <w:rFonts w:ascii="Times;serif" w:hAnsi="Times;serif"/>
                <w:color w:val="0000FF"/>
                <w:sz w:val="24"/>
                <w:shd w:fill="FFFFFF" w:val="clear"/>
              </w:rPr>
              <w:t>DBRG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19,265</w:t>
            </w:r>
            <w:r>
              <w:rPr>
                <w:rFonts w:ascii="Times;serif" w:hAnsi="Times;serif"/>
                <w:color w:val="008000"/>
                <w:position w:val="7"/>
                <w:sz w:val="16"/>
                <w:sz w:val="20"/>
                <w:shd w:fill="FFFFFF" w:val="clear"/>
              </w:rPr>
              <w:t>(2)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w:t>
            </w:r>
            <w:r>
              <w:rPr>
                <w:rFonts w:ascii="Times;serif" w:hAnsi="Times;serif"/>
                <w:color w:val="008000"/>
                <w:position w:val="7"/>
                <w:sz w:val="16"/>
                <w:sz w:val="20"/>
                <w:shd w:fill="FFFFFF" w:val="clear"/>
              </w:rPr>
              <w:t>(1)(2)</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30, 2026, pursuant to an Agreement and Plan of Merger, dated as of December 29, 2025 (the "Merger Agreement"), by and among DigitalBridge Group, Inc. (the "Issuer"), Duncan Holdco LLC, Duncan Sub I Inc. ("Merger Sub I"), Duncan Sub II LLC and DigitalBridge Operating Company, LLC, among other things, Merger Sub I merged with and into the Issuer (the "Merger") with the Issuer surviving the Merger. At the effective time of the Merger (the "Effective Time"), each issued and outstanding share of the Issuer's common stock, par value $0.01 per share, (other than certain excluded shares) automatically converted into the right to receive $16.00 per share in cash, without interest and less any applicable withholding tax (the "Per Share Merger Consideration"). Pursuant to the Merger Agreement, as of the Effective Time, each deferred stock unit outstanding became fully vested, was cancelled and converted into the right to receive the Per Share Merger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11,190 shares of restricted Class A Common Stock. As of immediately prior to the Effective Time, each outstanding share of restricted Class A Common Stock granted to the reporting person by the Issuer became fully vested, and as of the Effective Time, automatically converted into the right to receive the Per Share Merger Consideration plus a cash payment equal to the accumulated dividend equivalents as of immediately prior to the Effective Time (if any) in respect of such share of restricted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Blake Clardy,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6614" TargetMode="External"/><Relationship Id="rId5" Type="http://schemas.openxmlformats.org/officeDocument/2006/relationships/hyperlink" Target="http://www.sec.gov/cgi-bin/browse-edgar?action=getcompany&amp;CIK=00016796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813</Words>
  <Characters>4371</Characters>
  <CharactersWithSpaces>5115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