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8415.xml.htm"/>
      <w:bookmarkStart w:id="1" w:name="kswkform4_17909784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James Keith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DRIVE,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DigitalBridge Group, Inc.</w:t>
              </w:r>
            </w:hyperlink>
            <w:r>
              <w:rPr/>
              <w:t xml:space="preserve"> [ </w:t>
            </w:r>
            <w:r>
              <w:rPr>
                <w:rFonts w:ascii="Times;serif" w:hAnsi="Times;serif"/>
                <w:color w:val="0000FF"/>
                <w:sz w:val="24"/>
                <w:shd w:fill="FFFFFF" w:val="clear"/>
              </w:rPr>
              <w:t>DBRG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53,020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pursuant to an Agreement and Plan of Merger, dated as of December 29, 2025 (the "Merger Agreement"), by and among DigitalBridge Group, Inc. (the "Issuer"), Duncan Holdco LLC, Duncan Sub I Inc. ("Merger Sub I"), Duncan Sub II LLC and DigitalBridge Operating Company, LLC, among other things, Merger Sub I merged with and into the Issuer (the "Merger") with the Issuer surviving the Merger. At the effective time of the Merger (the "Effective Time"), each issued and outstanding share of the Issuer's common stock, par value $0.01 per share, (other than certain excluded shares) automatically converted into the right to receive $16.00 per share in cash, without interest and less any applicable withholding tax (the "Per Share Merger Consideration"). Pursuant to the Merger Agreement, as of the Effective Time, each deferred stock unit outstanding became fully vested, was cancelled and converted into the right to receive the Per Share Merger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Blake Clardy,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6917" TargetMode="External"/><Relationship Id="rId5" Type="http://schemas.openxmlformats.org/officeDocument/2006/relationships/hyperlink" Target="http://www.sec.gov/cgi-bin/browse-edgar?action=getcompany&amp;CIK=0001679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733</Words>
  <Characters>3965</Characters>
  <CharactersWithSpaces>4626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